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6C" w:rsidRPr="00A81012" w:rsidRDefault="0075186C" w:rsidP="00751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012">
        <w:rPr>
          <w:rFonts w:ascii="Times New Roman" w:hAnsi="Times New Roman" w:cs="Times New Roman"/>
          <w:b/>
          <w:sz w:val="28"/>
          <w:szCs w:val="28"/>
        </w:rPr>
        <w:t xml:space="preserve">Список литературы для вступительного испытания </w:t>
      </w:r>
      <w:proofErr w:type="gramStart"/>
      <w:r w:rsidRPr="00A81012">
        <w:rPr>
          <w:rFonts w:ascii="Times New Roman" w:hAnsi="Times New Roman" w:cs="Times New Roman"/>
          <w:b/>
          <w:sz w:val="28"/>
          <w:szCs w:val="28"/>
        </w:rPr>
        <w:t>по  дисциплине</w:t>
      </w:r>
      <w:proofErr w:type="gramEnd"/>
      <w:r w:rsidRPr="00A810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«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81012">
        <w:rPr>
          <w:rFonts w:ascii="Times New Roman" w:hAnsi="Times New Roman" w:cs="Times New Roman"/>
          <w:b/>
          <w:sz w:val="28"/>
          <w:szCs w:val="28"/>
        </w:rPr>
        <w:t>обеседование».</w:t>
      </w:r>
    </w:p>
    <w:p w:rsidR="0075186C" w:rsidRDefault="0075186C" w:rsidP="0075186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Виппер Б.Р. Введение в историческое изучение искусства. М., 2015.</w:t>
      </w:r>
    </w:p>
    <w:p w:rsidR="0075186C" w:rsidRDefault="0075186C" w:rsidP="0075186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Волков Н.Н. Цвет в живописи. М., 2014.</w:t>
      </w:r>
    </w:p>
    <w:p w:rsidR="0075186C" w:rsidRDefault="0075186C" w:rsidP="0075186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Дмитриева Н. Краткая история искусств. М, 2008.</w:t>
      </w:r>
    </w:p>
    <w:p w:rsidR="0075186C" w:rsidRDefault="0075186C" w:rsidP="0075186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Ильина Т.В. История искусств. Западноевропейское искусство. М., 2009.</w:t>
      </w:r>
    </w:p>
    <w:p w:rsidR="0075186C" w:rsidRDefault="0075186C" w:rsidP="0075186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Ильина Т.В. История искусств. Отечественное искусство. М., 2000.</w:t>
      </w:r>
    </w:p>
    <w:p w:rsidR="0075186C" w:rsidRDefault="0075186C" w:rsidP="0075186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Лихачева В.Д. Искусство Византии </w:t>
      </w:r>
      <w:r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lang w:val="en-US"/>
        </w:rPr>
        <w:t>XV</w:t>
      </w:r>
      <w:r>
        <w:rPr>
          <w:rFonts w:ascii="Times New Roman" w:hAnsi="Times New Roman" w:cs="Times New Roman"/>
          <w:sz w:val="28"/>
        </w:rPr>
        <w:t xml:space="preserve"> веков. Л., 1986.</w:t>
      </w:r>
    </w:p>
    <w:p w:rsidR="0075186C" w:rsidRDefault="0075186C" w:rsidP="0075186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Любимов Л. Искусство Древней Руси. М., 2004.</w:t>
      </w:r>
    </w:p>
    <w:p w:rsidR="0075186C" w:rsidRDefault="0075186C" w:rsidP="0075186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Любимов Л.Д. Искусство Древнего мира. М., 1980.</w:t>
      </w:r>
    </w:p>
    <w:p w:rsidR="0075186C" w:rsidRDefault="0075186C" w:rsidP="0075186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Любимов Л.Д. Искусство западной Европы. Средние века. Возрождение в Италии. М., 1982.</w:t>
      </w:r>
    </w:p>
    <w:p w:rsidR="0075186C" w:rsidRDefault="0075186C" w:rsidP="0075186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Мировая художественная культура</w:t>
      </w:r>
      <w:r w:rsidRPr="00DE748D">
        <w:rPr>
          <w:rFonts w:ascii="Times New Roman" w:hAnsi="Times New Roman" w:cs="Times New Roman"/>
          <w:sz w:val="28"/>
        </w:rPr>
        <w:t xml:space="preserve"> / </w:t>
      </w:r>
      <w:r>
        <w:rPr>
          <w:rFonts w:ascii="Times New Roman" w:hAnsi="Times New Roman" w:cs="Times New Roman"/>
          <w:sz w:val="28"/>
        </w:rPr>
        <w:t xml:space="preserve">Под ред. Б.А. </w:t>
      </w:r>
      <w:proofErr w:type="spellStart"/>
      <w:r>
        <w:rPr>
          <w:rFonts w:ascii="Times New Roman" w:hAnsi="Times New Roman" w:cs="Times New Roman"/>
          <w:sz w:val="28"/>
        </w:rPr>
        <w:t>Эренгросс</w:t>
      </w:r>
      <w:proofErr w:type="spellEnd"/>
      <w:r>
        <w:rPr>
          <w:rFonts w:ascii="Times New Roman" w:hAnsi="Times New Roman" w:cs="Times New Roman"/>
          <w:sz w:val="28"/>
        </w:rPr>
        <w:t>. М., 2005.</w:t>
      </w:r>
    </w:p>
    <w:p w:rsidR="0075186C" w:rsidRPr="00B9320C" w:rsidRDefault="0075186C" w:rsidP="0075186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</w:rPr>
      </w:pPr>
      <w:r w:rsidRPr="003F292C">
        <w:rPr>
          <w:rFonts w:ascii="Times New Roman" w:hAnsi="Times New Roman" w:cs="Times New Roman"/>
          <w:sz w:val="28"/>
        </w:rPr>
        <w:t>Несмеянова О. О художественной ценности. // Литературно-публицистический интернет-журнал «</w:t>
      </w:r>
      <w:proofErr w:type="spellStart"/>
      <w:r w:rsidRPr="003F292C">
        <w:rPr>
          <w:rFonts w:ascii="Times New Roman" w:hAnsi="Times New Roman" w:cs="Times New Roman"/>
          <w:sz w:val="28"/>
        </w:rPr>
        <w:t>Клаузура</w:t>
      </w:r>
      <w:proofErr w:type="spellEnd"/>
      <w:r w:rsidRPr="003F292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январь 2012. </w:t>
      </w:r>
      <w:hyperlink r:id="rId5" w:history="1">
        <w:r w:rsidRPr="00144760">
          <w:rPr>
            <w:rStyle w:val="a4"/>
            <w:rFonts w:ascii="Times New Roman" w:hAnsi="Times New Roman" w:cs="Times New Roman"/>
            <w:sz w:val="28"/>
          </w:rPr>
          <w:t>http://klauzura.ru/2012/01/olga-nesmeyanova-o-xudozhestvennoj-cennosti/</w:t>
        </w:r>
      </w:hyperlink>
    </w:p>
    <w:p w:rsidR="0075186C" w:rsidRDefault="0075186C" w:rsidP="0075186C">
      <w:pPr>
        <w:pStyle w:val="a5"/>
        <w:spacing w:line="276" w:lineRule="auto"/>
        <w:rPr>
          <w:rFonts w:ascii="Times New Roman" w:hAnsi="Times New Roman" w:cs="Times New Roman"/>
          <w:sz w:val="28"/>
        </w:rPr>
      </w:pPr>
      <w:r w:rsidRPr="00B9320C">
        <w:rPr>
          <w:rFonts w:ascii="Times New Roman" w:hAnsi="Times New Roman" w:cs="Times New Roman"/>
          <w:sz w:val="28"/>
        </w:rPr>
        <w:t>Интернет-ресурсы:</w:t>
      </w:r>
    </w:p>
    <w:p w:rsidR="0075186C" w:rsidRDefault="0075186C" w:rsidP="0075186C">
      <w:pPr>
        <w:pStyle w:val="a5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Сайт Государственного Эрмитажа </w:t>
      </w:r>
      <w:hyperlink r:id="rId6" w:history="1">
        <w:r w:rsidRPr="00144760">
          <w:rPr>
            <w:rStyle w:val="a4"/>
            <w:rFonts w:ascii="Times New Roman" w:hAnsi="Times New Roman" w:cs="Times New Roman"/>
            <w:sz w:val="28"/>
          </w:rPr>
          <w:t>https://www.hermitagemuseum.org/wps/portal/hermitage?lng=ru</w:t>
        </w:r>
      </w:hyperlink>
    </w:p>
    <w:p w:rsidR="0075186C" w:rsidRDefault="0075186C" w:rsidP="0075186C">
      <w:pPr>
        <w:pStyle w:val="a5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Сайт Государственной Третьяковской галереи </w:t>
      </w:r>
      <w:hyperlink r:id="rId7" w:history="1">
        <w:r w:rsidRPr="00144760">
          <w:rPr>
            <w:rStyle w:val="a4"/>
            <w:rFonts w:ascii="Times New Roman" w:hAnsi="Times New Roman" w:cs="Times New Roman"/>
            <w:sz w:val="28"/>
          </w:rPr>
          <w:t>http://www.tretyakovgallery.ru/</w:t>
        </w:r>
      </w:hyperlink>
    </w:p>
    <w:p w:rsidR="0075186C" w:rsidRDefault="0075186C" w:rsidP="0075186C">
      <w:pPr>
        <w:pStyle w:val="a5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Сайт Государственного музея изобразительных искусств имени А.С. Пушкина </w:t>
      </w:r>
      <w:hyperlink r:id="rId8" w:history="1">
        <w:r w:rsidRPr="00144760">
          <w:rPr>
            <w:rStyle w:val="a4"/>
            <w:rFonts w:ascii="Times New Roman" w:hAnsi="Times New Roman" w:cs="Times New Roman"/>
            <w:sz w:val="28"/>
          </w:rPr>
          <w:t>http://www.arts-museum.ru/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75186C" w:rsidRDefault="0075186C" w:rsidP="0075186C">
      <w:pPr>
        <w:pStyle w:val="a5"/>
        <w:spacing w:line="276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сайты-сателлиты:</w:t>
      </w:r>
    </w:p>
    <w:p w:rsidR="0075186C" w:rsidRDefault="0075186C" w:rsidP="0075186C">
      <w:pPr>
        <w:pStyle w:val="a5"/>
        <w:spacing w:line="276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Итальянская живопись – </w:t>
      </w:r>
      <w:hyperlink r:id="rId9" w:history="1">
        <w:r w:rsidRPr="00144760">
          <w:rPr>
            <w:rStyle w:val="a4"/>
            <w:rFonts w:ascii="Times New Roman" w:hAnsi="Times New Roman" w:cs="Times New Roman"/>
            <w:sz w:val="28"/>
          </w:rPr>
          <w:t>http://www.italian-art.ru/</w:t>
        </w:r>
      </w:hyperlink>
    </w:p>
    <w:p w:rsidR="0075186C" w:rsidRDefault="0075186C" w:rsidP="0075186C">
      <w:pPr>
        <w:pStyle w:val="a5"/>
        <w:spacing w:line="276" w:lineRule="auto"/>
        <w:ind w:left="284"/>
        <w:rPr>
          <w:rStyle w:val="a4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Античное искусство – </w:t>
      </w:r>
      <w:hyperlink r:id="rId10" w:history="1">
        <w:r w:rsidRPr="00144760">
          <w:rPr>
            <w:rStyle w:val="a4"/>
            <w:rFonts w:ascii="Times New Roman" w:hAnsi="Times New Roman" w:cs="Times New Roman"/>
            <w:sz w:val="28"/>
          </w:rPr>
          <w:t>http://www.antic-art.ru/catalogue/</w:t>
        </w:r>
      </w:hyperlink>
    </w:p>
    <w:p w:rsidR="0075186C" w:rsidRDefault="0075186C" w:rsidP="0075186C">
      <w:pPr>
        <w:pStyle w:val="a5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Сайт Лувра (раздел «Коллекции») </w:t>
      </w:r>
      <w:hyperlink r:id="rId11" w:history="1">
        <w:r w:rsidRPr="00A170F8">
          <w:rPr>
            <w:rStyle w:val="a4"/>
            <w:rFonts w:ascii="Times New Roman" w:hAnsi="Times New Roman" w:cs="Times New Roman"/>
            <w:sz w:val="28"/>
          </w:rPr>
          <w:t>http://www.louvre.fr/en/departements</w:t>
        </w:r>
      </w:hyperlink>
    </w:p>
    <w:p w:rsidR="0075186C" w:rsidRDefault="0075186C" w:rsidP="0075186C">
      <w:pPr>
        <w:pStyle w:val="a5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Сайт Британского музея (раздел «Коллекции») </w:t>
      </w:r>
      <w:hyperlink r:id="rId12" w:history="1">
        <w:r w:rsidRPr="00A170F8">
          <w:rPr>
            <w:rStyle w:val="a4"/>
            <w:rFonts w:ascii="Times New Roman" w:hAnsi="Times New Roman" w:cs="Times New Roman"/>
            <w:sz w:val="28"/>
          </w:rPr>
          <w:t>http://www.britishmuseum.org/research/collection_online/search.aspx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75186C" w:rsidRPr="00B9320C" w:rsidRDefault="0075186C" w:rsidP="0075186C">
      <w:pPr>
        <w:pStyle w:val="a5"/>
        <w:spacing w:line="276" w:lineRule="auto"/>
        <w:ind w:left="720"/>
        <w:rPr>
          <w:rFonts w:ascii="Times New Roman" w:hAnsi="Times New Roman" w:cs="Times New Roman"/>
          <w:sz w:val="28"/>
        </w:rPr>
      </w:pPr>
    </w:p>
    <w:p w:rsidR="000E1C97" w:rsidRDefault="000E1C97">
      <w:bookmarkStart w:id="0" w:name="_GoBack"/>
      <w:bookmarkEnd w:id="0"/>
    </w:p>
    <w:sectPr w:rsidR="000E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C58A6"/>
    <w:multiLevelType w:val="hybridMultilevel"/>
    <w:tmpl w:val="800C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741A9"/>
    <w:multiLevelType w:val="hybridMultilevel"/>
    <w:tmpl w:val="B906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6C"/>
    <w:rsid w:val="000E1C97"/>
    <w:rsid w:val="0075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C5877-12EA-4562-BF11-19046F51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8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186C"/>
    <w:rPr>
      <w:color w:val="0563C1" w:themeColor="hyperlink"/>
      <w:u w:val="single"/>
    </w:rPr>
  </w:style>
  <w:style w:type="paragraph" w:styleId="a5">
    <w:name w:val="No Spacing"/>
    <w:uiPriority w:val="1"/>
    <w:qFormat/>
    <w:rsid w:val="00751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-museum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tyakovgallery.ru/" TargetMode="External"/><Relationship Id="rId12" Type="http://schemas.openxmlformats.org/officeDocument/2006/relationships/hyperlink" Target="http://www.britishmuseum.org/research/collection_online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rmitagemuseum.org/wps/portal/hermitage?lng=ru" TargetMode="External"/><Relationship Id="rId11" Type="http://schemas.openxmlformats.org/officeDocument/2006/relationships/hyperlink" Target="http://www.louvre.fr/en/departements" TargetMode="External"/><Relationship Id="rId5" Type="http://schemas.openxmlformats.org/officeDocument/2006/relationships/hyperlink" Target="http://klauzura.ru/2012/01/olga-nesmeyanova-o-xudozhestvennoj-cennosti/" TargetMode="External"/><Relationship Id="rId10" Type="http://schemas.openxmlformats.org/officeDocument/2006/relationships/hyperlink" Target="http://www.antic-art.ru/catalogu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alian-ar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 Лукьянова</dc:creator>
  <cp:keywords/>
  <dc:description/>
  <cp:lastModifiedBy>Татьяна Анатольевна Лукьянова</cp:lastModifiedBy>
  <cp:revision>1</cp:revision>
  <dcterms:created xsi:type="dcterms:W3CDTF">2016-06-23T11:08:00Z</dcterms:created>
  <dcterms:modified xsi:type="dcterms:W3CDTF">2016-06-23T11:09:00Z</dcterms:modified>
</cp:coreProperties>
</file>