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660AC" w14:textId="77777777" w:rsidR="00D03849" w:rsidRPr="003B380A" w:rsidRDefault="00D03849" w:rsidP="00D0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770AA" w14:textId="77777777" w:rsidR="00D03849" w:rsidRPr="00376486" w:rsidRDefault="00D03849" w:rsidP="00D038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14:paraId="5D09FCDA" w14:textId="2FEA8693" w:rsidR="00D03849" w:rsidRPr="00376486" w:rsidRDefault="00D03849" w:rsidP="00D038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студентов </w:t>
      </w:r>
      <w:r w:rsidR="0043546D" w:rsidRPr="0037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аспирантов </w:t>
      </w:r>
      <w:r w:rsidRPr="0037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экстремизма</w:t>
      </w:r>
      <w:r w:rsidR="00A927DF" w:rsidRPr="0037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терроризма</w:t>
      </w:r>
    </w:p>
    <w:p w14:paraId="633621E4" w14:textId="77777777" w:rsidR="00D03849" w:rsidRPr="003B380A" w:rsidRDefault="00D03849" w:rsidP="00D03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F1AD8" w14:textId="77777777" w:rsidR="00D03849" w:rsidRPr="002E505B" w:rsidRDefault="00D03849" w:rsidP="00D03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E5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Что нужно знать об экстремизме</w:t>
      </w:r>
    </w:p>
    <w:p w14:paraId="7475A356" w14:textId="77777777" w:rsidR="00D03849" w:rsidRPr="003B380A" w:rsidRDefault="00D03849" w:rsidP="00D03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750CDDFD" w14:textId="214C4279" w:rsidR="002E505B" w:rsidRDefault="002E505B" w:rsidP="002E50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Экстремизм</w:t>
      </w:r>
      <w:r>
        <w:rPr>
          <w:sz w:val="28"/>
          <w:szCs w:val="28"/>
        </w:rPr>
        <w:t xml:space="preserve"> представляет собой возбуждение социальной, расовой, национальной или религиозной розни; 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14:paraId="059EEEE8" w14:textId="77777777" w:rsidR="002E505B" w:rsidRDefault="002E505B" w:rsidP="002E50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816A0D9" w14:textId="77777777" w:rsidR="00D03849" w:rsidRPr="003B380A" w:rsidRDefault="00D03849" w:rsidP="002E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Экстремистские материалы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 w:rsidR="00E8020E"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802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сообщения,</w:t>
      </w:r>
      <w:r w:rsidR="00E8020E"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 для обнародования, призывающие к осуществлению экстремистской деятельности,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обосновывающие необходимость осуществления такой деятельности.</w:t>
      </w:r>
    </w:p>
    <w:p w14:paraId="57256A5D" w14:textId="77777777" w:rsidR="00D03849" w:rsidRPr="00741E8C" w:rsidRDefault="00D03849" w:rsidP="002E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E6134" w14:textId="77777777" w:rsidR="00D03849" w:rsidRPr="003B380A" w:rsidRDefault="00D03849" w:rsidP="002E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Экстремистская мотивация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мотивация, основанная на групповой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солидарности, осознании себя членом привилегированной группы, имеющей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подавление в различных формах «чужаков».</w:t>
      </w:r>
    </w:p>
    <w:p w14:paraId="1293E58E" w14:textId="77777777" w:rsidR="00D03849" w:rsidRPr="00741E8C" w:rsidRDefault="00D03849" w:rsidP="002E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A2E02" w14:textId="77777777" w:rsidR="00E8020E" w:rsidRPr="00741E8C" w:rsidRDefault="00D03849" w:rsidP="002E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Профилактика </w:t>
      </w:r>
      <w:r w:rsidRPr="003B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экстремизма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предупреждение экстремистской деятельности.</w:t>
      </w:r>
      <w:r w:rsidR="00E8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20E"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</w:t>
      </w:r>
      <w:r w:rsidR="00E8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="00E8020E"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и предупредить совершение</w:t>
      </w:r>
      <w:r w:rsidR="00E8020E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20E"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экстремистского характера со стороны обучающихся.</w:t>
      </w:r>
    </w:p>
    <w:p w14:paraId="2323F020" w14:textId="77777777" w:rsidR="00E8020E" w:rsidRPr="003B380A" w:rsidRDefault="00E8020E" w:rsidP="002E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FB698" w14:textId="0A6A6B06" w:rsidR="00D03849" w:rsidRPr="00741E8C" w:rsidRDefault="00D03849" w:rsidP="002E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Терроризм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 w:rsidRPr="00A9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крайнее проявление экстремизма</w:t>
      </w:r>
      <w:r w:rsidR="002E5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явление, связанное с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насилием, угрожающее жизни и здоровью граждан.</w:t>
      </w:r>
      <w:r w:rsidR="002E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05B" w:rsidRPr="002E5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терроризмом понимается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</w:r>
    </w:p>
    <w:p w14:paraId="39CCBD2F" w14:textId="77777777" w:rsidR="00D03849" w:rsidRPr="003B380A" w:rsidRDefault="00D03849" w:rsidP="002E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2975A" w14:textId="77777777" w:rsidR="00D03849" w:rsidRPr="00741E8C" w:rsidRDefault="00D03849" w:rsidP="002E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Национализм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форма общественного единства, основанная на идее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превосходства и национальной исключительности.</w:t>
      </w:r>
    </w:p>
    <w:p w14:paraId="72F54B62" w14:textId="77777777" w:rsidR="00D03849" w:rsidRPr="003B380A" w:rsidRDefault="00D03849" w:rsidP="002E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9D9D3" w14:textId="77777777" w:rsidR="00D03849" w:rsidRPr="003B380A" w:rsidRDefault="00D03849" w:rsidP="002E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Расизм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совокупность концепций, основу которых составляют положения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физической и психической неравноценности человеческих рас и о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решающем влиянии расовых различий на историю и культуру человеческого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общества. </w:t>
      </w:r>
    </w:p>
    <w:p w14:paraId="6CBCDDB9" w14:textId="77777777" w:rsidR="0043546D" w:rsidRDefault="0043546D" w:rsidP="002E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5D064ACB" w14:textId="405735EF" w:rsidR="00E8020E" w:rsidRPr="003860F5" w:rsidRDefault="00E8020E" w:rsidP="00E8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860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чем нужно постоянно помнить:</w:t>
      </w:r>
    </w:p>
    <w:p w14:paraId="5570311A" w14:textId="77777777" w:rsidR="00D03849" w:rsidRPr="003B380A" w:rsidRDefault="00D03849" w:rsidP="00D0384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886BD" w14:textId="77777777" w:rsidR="00D03849" w:rsidRPr="00741E8C" w:rsidRDefault="00D03849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</w:t>
      </w:r>
      <w:r w:rsidR="00E8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(как в сети Интернет, так и на улице) с подозрительными личностями.</w:t>
      </w:r>
    </w:p>
    <w:p w14:paraId="63F5E7C2" w14:textId="77777777" w:rsidR="00D03849" w:rsidRPr="00741E8C" w:rsidRDefault="00E8020E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D03849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ваших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</w:t>
      </w:r>
      <w:r w:rsidR="00D03849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дальнейшая жизнь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и вашего окружения</w:t>
      </w:r>
      <w:r w:rsidR="00D03849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C8FB47" w14:textId="77777777" w:rsidR="00D03849" w:rsidRPr="00741E8C" w:rsidRDefault="00D03849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случае, нельзя ходить на тренинги, о которых у вас нет достоверной информации.</w:t>
      </w:r>
    </w:p>
    <w:p w14:paraId="185CD206" w14:textId="77777777" w:rsidR="00D03849" w:rsidRPr="00741E8C" w:rsidRDefault="00D03849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вступать в подозрительные сообщества в социальных сетях и, проявлять там активность репостами, изложением своих мыслей (неважно, одобряющих либо порицающих их деятельность). Иначе просто вы окажетесь "на крючке" и, чем дольше с вами будет длиться общение, тем сложнее будет отмахнуться и вырваться из этих оков.</w:t>
      </w:r>
    </w:p>
    <w:p w14:paraId="3BF1F424" w14:textId="77777777" w:rsidR="00D03849" w:rsidRPr="00741E8C" w:rsidRDefault="00D03849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быть бдительным и очень осторожным, не посещать сомнительные сайты и тренинги, понимать, что от ваших действий зависит не только ваша дальнейшая судьба, но и судьба, здоровье и благополучие ваших родных и близких.</w:t>
      </w:r>
    </w:p>
    <w:p w14:paraId="4C2FD940" w14:textId="7A43F8BE" w:rsidR="00D03849" w:rsidRPr="00741E8C" w:rsidRDefault="00D03849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осознаете, что уже "пошел процесс", вы в беде и самому уже не справиться, обратитесь за помощью в правоохранительные органы, преподавателям </w:t>
      </w:r>
      <w:r w:rsidR="008004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кураторам учебных групп, посоветуйтесь с родителями.</w:t>
      </w:r>
    </w:p>
    <w:p w14:paraId="62AE53B9" w14:textId="77777777" w:rsidR="00D03849" w:rsidRPr="00741E8C" w:rsidRDefault="00D03849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вступайте в диалог с проповедниками и активистами, подошедшими к вам на улице </w:t>
      </w:r>
      <w:r w:rsidR="006462EF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предлагающими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посетить собрание религиозной организации, а равно иной неизвестной вам общественной организации /объединения.</w:t>
      </w:r>
    </w:p>
    <w:p w14:paraId="54CEDA7D" w14:textId="77777777" w:rsidR="00D03849" w:rsidRPr="00741E8C" w:rsidRDefault="00D03849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отстаивать свои религиозные и гражданские убеждения при первой же встрече с верующими, проповедниками любой религиозной организации, активистами общественных организаций/ объединений.</w:t>
      </w:r>
    </w:p>
    <w:p w14:paraId="1EA0D809" w14:textId="77777777" w:rsidR="00D03849" w:rsidRPr="00741E8C" w:rsidRDefault="00D03849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решите задать вопросы о структуре организации, то делайте это без агрессии или скрытой иронии.</w:t>
      </w:r>
    </w:p>
    <w:p w14:paraId="1B8C96F5" w14:textId="77777777" w:rsidR="00D03849" w:rsidRPr="00741E8C" w:rsidRDefault="00D03849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предложили листовку, брошюру, журнал религиозной направленности, поблагодарите и вежливо откажитесь.</w:t>
      </w:r>
    </w:p>
    <w:p w14:paraId="7B87E5A1" w14:textId="77777777" w:rsidR="00D03849" w:rsidRPr="00741E8C" w:rsidRDefault="00D03849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вы решитесь посетить собрание религиозной либо незнакомой общественной организации постарайтесь узнать о них как можно больше, посоветуйтесь с друзьями, родственниками, просто с близкими людьми.</w:t>
      </w:r>
    </w:p>
    <w:p w14:paraId="27814D46" w14:textId="77777777" w:rsidR="00D03849" w:rsidRPr="00741E8C" w:rsidRDefault="00D03849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собрания организации и групп помните, что цель миссионеров - проповедников — убедить вас принять их учение. Ваша цель — разобраться и не попасть в сети деструктивной организации.</w:t>
      </w:r>
    </w:p>
    <w:p w14:paraId="267E2C9B" w14:textId="77777777" w:rsidR="00D03849" w:rsidRPr="00741E8C" w:rsidRDefault="00D03849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посещайте собраний одни, пригласите с собой родственника, друга.</w:t>
      </w:r>
    </w:p>
    <w:p w14:paraId="5181F64C" w14:textId="1CAA834B" w:rsidR="00D03849" w:rsidRPr="00741E8C" w:rsidRDefault="00E8020E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не один,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80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D03849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 w:rsidR="00D03849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="00D03849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не позволяйте разделять вас при проведении религиозных мероприятий, предупредите об этом проповедника. Если же руководители настаивают,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r w:rsidR="00D03849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лучше сразу же покинуть.</w:t>
      </w:r>
    </w:p>
    <w:p w14:paraId="01D2A019" w14:textId="77777777" w:rsidR="00D03849" w:rsidRPr="00741E8C" w:rsidRDefault="00D03849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душевного и физического здоровья, подумайте, стоит ли причинять боль родным и близким, вступая в ряды религиозных объединений нетрадиционного направления, неформальных общественных объединений</w:t>
      </w:r>
      <w:r w:rsidR="00E80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54946F" w14:textId="77777777" w:rsidR="00D03849" w:rsidRPr="00741E8C" w:rsidRDefault="00D03849" w:rsidP="003860F5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найти цель в жизни, успех и покой, путь к самореализации в рядах нетрадиционных организаций, миссий, церквей, неформальных объединений</w:t>
      </w:r>
      <w:r w:rsidR="00E8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групп.</w:t>
      </w:r>
    </w:p>
    <w:p w14:paraId="2FCF2664" w14:textId="77777777" w:rsidR="00D03849" w:rsidRPr="0043546D" w:rsidRDefault="00D03849" w:rsidP="00D03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00A06A" w14:textId="6C846D18" w:rsidR="00D03849" w:rsidRPr="002E505B" w:rsidRDefault="0043546D" w:rsidP="00D038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знать</w:t>
      </w:r>
    </w:p>
    <w:p w14:paraId="6816C1C8" w14:textId="77777777" w:rsidR="00D03849" w:rsidRPr="00CD6FE2" w:rsidRDefault="00D03849" w:rsidP="00D0384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511E3" w14:textId="77777777" w:rsidR="00D03849" w:rsidRDefault="00D03849" w:rsidP="00924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 </w:t>
      </w:r>
    </w:p>
    <w:p w14:paraId="5F5C1172" w14:textId="77777777" w:rsidR="00D03849" w:rsidRDefault="00D03849" w:rsidP="00D03849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6A803" w14:textId="14EEFD1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Кодекс Российской Федерации об административных правонарушениях</w:t>
      </w:r>
      <w:r>
        <w:rPr>
          <w:sz w:val="28"/>
          <w:szCs w:val="28"/>
        </w:rPr>
        <w:t xml:space="preserve"> предусматривает</w:t>
      </w:r>
      <w:bookmarkStart w:id="0" w:name="_GoBack"/>
      <w:bookmarkEnd w:id="0"/>
      <w:r>
        <w:rPr>
          <w:sz w:val="28"/>
          <w:szCs w:val="28"/>
        </w:rPr>
        <w:t xml:space="preserve"> такие противоправные действия экстремистского характера, как: </w:t>
      </w:r>
    </w:p>
    <w:p w14:paraId="5CB834EF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нарушение законодательства о свободе совести, свободе вероисповедания и о религиозных объединениях</w:t>
      </w:r>
      <w:r>
        <w:rPr>
          <w:sz w:val="28"/>
          <w:szCs w:val="28"/>
        </w:rPr>
        <w:t xml:space="preserve"> (ст. 5.26 КоАП РФ); </w:t>
      </w:r>
    </w:p>
    <w:p w14:paraId="21D3975B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пропаганда и публичное демонстрирование нацистской атрибутики или символики</w:t>
      </w:r>
      <w:r>
        <w:rPr>
          <w:sz w:val="28"/>
          <w:szCs w:val="28"/>
        </w:rPr>
        <w:t xml:space="preserve"> (ст. 20.3 КоАП РФ); </w:t>
      </w:r>
    </w:p>
    <w:p w14:paraId="4D62526D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производство и распространение экстремистских материалов</w:t>
      </w:r>
      <w:r>
        <w:rPr>
          <w:sz w:val="28"/>
          <w:szCs w:val="28"/>
        </w:rPr>
        <w:t xml:space="preserve"> (ст. 20.29 КоАП РФ).</w:t>
      </w:r>
    </w:p>
    <w:p w14:paraId="50010DAB" w14:textId="77777777" w:rsidR="00924E94" w:rsidRDefault="00924E94" w:rsidP="00924E94">
      <w:pPr>
        <w:pStyle w:val="a4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Указанные правонарушения влекут за собой </w:t>
      </w:r>
      <w:r>
        <w:rPr>
          <w:b/>
          <w:bCs/>
          <w:sz w:val="28"/>
          <w:szCs w:val="28"/>
        </w:rPr>
        <w:t>административные штрафы и аресты.</w:t>
      </w:r>
    </w:p>
    <w:p w14:paraId="7793C44A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Уголовном кодексе Российской Федерации</w:t>
      </w:r>
      <w:r>
        <w:rPr>
          <w:sz w:val="28"/>
          <w:szCs w:val="28"/>
        </w:rPr>
        <w:t xml:space="preserve"> совершение </w:t>
      </w:r>
      <w:r>
        <w:rPr>
          <w:b/>
          <w:bCs/>
          <w:sz w:val="28"/>
          <w:szCs w:val="28"/>
        </w:rPr>
        <w:t>преступлений экстремистского характера</w:t>
      </w:r>
      <w:r>
        <w:rPr>
          <w:sz w:val="28"/>
          <w:szCs w:val="28"/>
        </w:rPr>
        <w:t xml:space="preserve">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 </w:t>
      </w:r>
      <w:r>
        <w:rPr>
          <w:b/>
          <w:bCs/>
          <w:sz w:val="28"/>
          <w:szCs w:val="28"/>
        </w:rPr>
        <w:t>рассматривается в качестве отягчающего обстоятельства</w:t>
      </w:r>
      <w:r>
        <w:rPr>
          <w:sz w:val="28"/>
          <w:szCs w:val="28"/>
        </w:rPr>
        <w:t xml:space="preserve">. </w:t>
      </w:r>
    </w:p>
    <w:p w14:paraId="391F28EA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УК РФ предусматривает </w:t>
      </w:r>
      <w:r>
        <w:rPr>
          <w:b/>
          <w:bCs/>
          <w:sz w:val="28"/>
          <w:szCs w:val="28"/>
        </w:rPr>
        <w:t>отдельные виды преступлений, имеющих экстремистский характер</w:t>
      </w:r>
      <w:r>
        <w:rPr>
          <w:sz w:val="28"/>
          <w:szCs w:val="28"/>
        </w:rPr>
        <w:t xml:space="preserve"> независимо от наличия квалифицирующих признаков и отягчающих обстоятельств, такие как: </w:t>
      </w:r>
    </w:p>
    <w:p w14:paraId="7B71723E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публичные призывы к осуществлению экстремистской деятельности</w:t>
      </w:r>
      <w:r>
        <w:rPr>
          <w:sz w:val="28"/>
          <w:szCs w:val="28"/>
        </w:rPr>
        <w:t xml:space="preserve"> (ст. 280 УК РФ);</w:t>
      </w:r>
    </w:p>
    <w:p w14:paraId="4A38C18A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возбуждение ненависти либо вражды, а равно унижение человеческого достоинства</w:t>
      </w:r>
      <w:r>
        <w:rPr>
          <w:sz w:val="28"/>
          <w:szCs w:val="28"/>
        </w:rPr>
        <w:t xml:space="preserve"> (ст. 282 УК РФ);</w:t>
      </w:r>
    </w:p>
    <w:p w14:paraId="7E659F46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организация экстремистского сообщества</w:t>
      </w:r>
      <w:r>
        <w:rPr>
          <w:sz w:val="28"/>
          <w:szCs w:val="28"/>
        </w:rPr>
        <w:t xml:space="preserve"> (ст. 282.1 УК РФ); </w:t>
      </w:r>
    </w:p>
    <w:p w14:paraId="1B9C3FF6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организация деятельности экстремистской организации</w:t>
      </w:r>
      <w:r>
        <w:rPr>
          <w:sz w:val="28"/>
          <w:szCs w:val="28"/>
        </w:rPr>
        <w:t xml:space="preserve"> (ст. 282.2 УК РФ); </w:t>
      </w:r>
    </w:p>
    <w:p w14:paraId="544E79D6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геноцид</w:t>
      </w:r>
      <w:r>
        <w:rPr>
          <w:sz w:val="28"/>
          <w:szCs w:val="28"/>
        </w:rPr>
        <w:t xml:space="preserve"> (ст. 357 УК РФ). </w:t>
      </w:r>
    </w:p>
    <w:p w14:paraId="0F1D10B9" w14:textId="77777777" w:rsidR="00924E94" w:rsidRDefault="00924E94" w:rsidP="00924E94">
      <w:pPr>
        <w:pStyle w:val="a4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Указанные выше преступления наказываются </w:t>
      </w:r>
      <w:r>
        <w:rPr>
          <w:b/>
          <w:bCs/>
          <w:sz w:val="28"/>
          <w:szCs w:val="28"/>
        </w:rPr>
        <w:t>штрафами, арестами, обязательными работами и лишением свободы вплоть до двадцати лет, а также пожизненным лишением свободы.</w:t>
      </w:r>
    </w:p>
    <w:p w14:paraId="24427222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Действия и преступления, имеющие </w:t>
      </w:r>
      <w:r>
        <w:rPr>
          <w:b/>
          <w:bCs/>
          <w:sz w:val="28"/>
          <w:szCs w:val="28"/>
        </w:rPr>
        <w:t>террористический характер,</w:t>
      </w:r>
      <w:r>
        <w:rPr>
          <w:sz w:val="28"/>
          <w:szCs w:val="28"/>
        </w:rPr>
        <w:t xml:space="preserve"> регулируются исключительно Уголовным кодексом Российской Федерации, а именно: </w:t>
      </w:r>
    </w:p>
    <w:p w14:paraId="6B4FE4B2" w14:textId="5A87BBF4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террористический акт</w:t>
      </w:r>
      <w:r>
        <w:rPr>
          <w:sz w:val="28"/>
          <w:szCs w:val="28"/>
        </w:rPr>
        <w:t xml:space="preserve">,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 (ст. 205 УК РФ). </w:t>
      </w:r>
    </w:p>
    <w:p w14:paraId="73055FF8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преступлениям террористического характера, помимо собственно террористического акта, закон относит: </w:t>
      </w:r>
    </w:p>
    <w:p w14:paraId="303FAF18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содействие террористической деятельности</w:t>
      </w:r>
      <w:r>
        <w:rPr>
          <w:sz w:val="28"/>
          <w:szCs w:val="28"/>
        </w:rPr>
        <w:t xml:space="preserve"> (ст. 205.1 УК РФ); </w:t>
      </w:r>
    </w:p>
    <w:p w14:paraId="162D0B41" w14:textId="22D525B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публичные призывы к осуществлению террористической деятельности или публичное оправдание терроризма</w:t>
      </w:r>
      <w:r>
        <w:rPr>
          <w:sz w:val="28"/>
          <w:szCs w:val="28"/>
        </w:rPr>
        <w:t xml:space="preserve"> (ст. 205.2 УК РФ); </w:t>
      </w:r>
    </w:p>
    <w:p w14:paraId="6614A183" w14:textId="6E56B765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7264">
        <w:rPr>
          <w:b/>
          <w:bCs/>
          <w:sz w:val="28"/>
          <w:szCs w:val="28"/>
        </w:rPr>
        <w:t>прохождение обучения в целях осуществления террористической деятельности</w:t>
      </w:r>
      <w:r w:rsidRPr="00924E94">
        <w:rPr>
          <w:sz w:val="28"/>
          <w:szCs w:val="28"/>
        </w:rPr>
        <w:t xml:space="preserve"> (ст</w:t>
      </w:r>
      <w:r>
        <w:rPr>
          <w:sz w:val="28"/>
          <w:szCs w:val="28"/>
        </w:rPr>
        <w:t>.</w:t>
      </w:r>
      <w:r w:rsidRPr="00924E94">
        <w:rPr>
          <w:sz w:val="28"/>
          <w:szCs w:val="28"/>
        </w:rPr>
        <w:t xml:space="preserve"> 205.3 УК РФ)</w:t>
      </w:r>
      <w:r w:rsidR="005A7264">
        <w:rPr>
          <w:sz w:val="28"/>
          <w:szCs w:val="28"/>
        </w:rPr>
        <w:t>;</w:t>
      </w:r>
    </w:p>
    <w:p w14:paraId="0FC67FED" w14:textId="6AD8F5BE" w:rsidR="005A7264" w:rsidRDefault="00C351B6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51B6">
        <w:rPr>
          <w:b/>
          <w:bCs/>
          <w:sz w:val="28"/>
          <w:szCs w:val="28"/>
        </w:rPr>
        <w:t>о</w:t>
      </w:r>
      <w:r w:rsidR="005A7264" w:rsidRPr="00C351B6">
        <w:rPr>
          <w:b/>
          <w:bCs/>
          <w:sz w:val="28"/>
          <w:szCs w:val="28"/>
        </w:rPr>
        <w:t>рганизация террористического сообщества и участие в нем</w:t>
      </w:r>
      <w:r w:rsidR="005A7264" w:rsidRPr="005A7264">
        <w:rPr>
          <w:sz w:val="28"/>
          <w:szCs w:val="28"/>
        </w:rPr>
        <w:t xml:space="preserve"> (ст</w:t>
      </w:r>
      <w:r>
        <w:rPr>
          <w:sz w:val="28"/>
          <w:szCs w:val="28"/>
        </w:rPr>
        <w:t>.</w:t>
      </w:r>
      <w:r w:rsidR="005A7264" w:rsidRPr="005A7264">
        <w:rPr>
          <w:sz w:val="28"/>
          <w:szCs w:val="28"/>
        </w:rPr>
        <w:t xml:space="preserve"> 205.4 УК РФ)</w:t>
      </w:r>
    </w:p>
    <w:p w14:paraId="205865D9" w14:textId="5DAA2CF9" w:rsidR="00C351B6" w:rsidRDefault="00C351B6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51B6">
        <w:rPr>
          <w:b/>
          <w:bCs/>
          <w:sz w:val="28"/>
          <w:szCs w:val="28"/>
        </w:rPr>
        <w:t>организация деятельности террористической организации и участие в деятельности такой организации</w:t>
      </w:r>
      <w:r>
        <w:rPr>
          <w:sz w:val="28"/>
          <w:szCs w:val="28"/>
        </w:rPr>
        <w:t xml:space="preserve"> (ст.</w:t>
      </w:r>
      <w:r w:rsidRPr="00C351B6">
        <w:rPr>
          <w:sz w:val="28"/>
          <w:szCs w:val="28"/>
        </w:rPr>
        <w:t xml:space="preserve"> 205.5</w:t>
      </w:r>
      <w:r>
        <w:rPr>
          <w:sz w:val="28"/>
          <w:szCs w:val="28"/>
        </w:rPr>
        <w:t xml:space="preserve"> </w:t>
      </w:r>
      <w:r w:rsidRPr="00C351B6">
        <w:rPr>
          <w:sz w:val="28"/>
          <w:szCs w:val="28"/>
        </w:rPr>
        <w:t>УК РФ</w:t>
      </w:r>
      <w:r>
        <w:rPr>
          <w:sz w:val="28"/>
          <w:szCs w:val="28"/>
        </w:rPr>
        <w:t>);</w:t>
      </w:r>
    </w:p>
    <w:p w14:paraId="1D327EB3" w14:textId="648C3C19" w:rsidR="00C351B6" w:rsidRDefault="00C351B6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51B6">
        <w:rPr>
          <w:b/>
          <w:bCs/>
          <w:sz w:val="28"/>
          <w:szCs w:val="28"/>
        </w:rPr>
        <w:t>несообщение о преступлении</w:t>
      </w:r>
      <w:r>
        <w:rPr>
          <w:sz w:val="28"/>
          <w:szCs w:val="28"/>
        </w:rPr>
        <w:t xml:space="preserve"> (ст.205.6 УК РФ);</w:t>
      </w:r>
    </w:p>
    <w:p w14:paraId="591586CB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захват заложника</w:t>
      </w:r>
      <w:r>
        <w:rPr>
          <w:sz w:val="28"/>
          <w:szCs w:val="28"/>
        </w:rPr>
        <w:t xml:space="preserve"> (ст. 206 УК РФ); </w:t>
      </w:r>
    </w:p>
    <w:p w14:paraId="29E0ECD8" w14:textId="72EA7DA5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заведомо ложное сообщение об акте терроризма</w:t>
      </w:r>
      <w:r>
        <w:rPr>
          <w:sz w:val="28"/>
          <w:szCs w:val="28"/>
        </w:rPr>
        <w:t xml:space="preserve"> (ст. 207 УК РФ); </w:t>
      </w:r>
    </w:p>
    <w:p w14:paraId="28E318BB" w14:textId="25D9294D" w:rsidR="00C351B6" w:rsidRDefault="00C351B6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51B6">
        <w:rPr>
          <w:b/>
          <w:bCs/>
          <w:sz w:val="28"/>
          <w:szCs w:val="28"/>
        </w:rPr>
        <w:t>публичное распространение заведомо ложной информации об обстоятельствах, представляющих угрозу жизни и безопасности граждан</w:t>
      </w:r>
      <w:r>
        <w:rPr>
          <w:sz w:val="28"/>
          <w:szCs w:val="28"/>
        </w:rPr>
        <w:t xml:space="preserve"> (ст.207.1 УК РФ);</w:t>
      </w:r>
    </w:p>
    <w:p w14:paraId="171234BC" w14:textId="40F94959" w:rsidR="00C351B6" w:rsidRDefault="00C351B6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51B6">
        <w:rPr>
          <w:b/>
          <w:bCs/>
          <w:sz w:val="28"/>
          <w:szCs w:val="28"/>
        </w:rPr>
        <w:t>публичное распространение заведомо ложной общественно значимой информации, повлекшее тяжкие последствия</w:t>
      </w:r>
      <w:r>
        <w:rPr>
          <w:sz w:val="28"/>
          <w:szCs w:val="28"/>
        </w:rPr>
        <w:t xml:space="preserve"> (ст.207.2 УК РФ);</w:t>
      </w:r>
    </w:p>
    <w:p w14:paraId="367FBACB" w14:textId="7091E865" w:rsidR="00C351B6" w:rsidRDefault="00C351B6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51B6">
        <w:rPr>
          <w:b/>
          <w:bCs/>
          <w:sz w:val="28"/>
          <w:szCs w:val="28"/>
        </w:rPr>
        <w:t xml:space="preserve">публичное распространение заведомо ложной информации об использовании Вооруженных Сил Российской Федерации, исполнении государственными органами Российской Федерации своих полномочий, оказании добровольческими формированиями, организациями или лицами </w:t>
      </w:r>
      <w:r w:rsidRPr="00C351B6">
        <w:rPr>
          <w:b/>
          <w:bCs/>
          <w:sz w:val="28"/>
          <w:szCs w:val="28"/>
        </w:rPr>
        <w:lastRenderedPageBreak/>
        <w:t>содействия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 (ст.207.3 УК РФ);</w:t>
      </w:r>
    </w:p>
    <w:p w14:paraId="34EADECE" w14:textId="3BDC0193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организацию незаконного вооруженного формирования или участие в нем</w:t>
      </w:r>
      <w:r>
        <w:rPr>
          <w:sz w:val="28"/>
          <w:szCs w:val="28"/>
        </w:rPr>
        <w:t xml:space="preserve"> (ст. 208 УК РФ); </w:t>
      </w:r>
    </w:p>
    <w:p w14:paraId="02354417" w14:textId="7E692803" w:rsidR="00372537" w:rsidRDefault="00372537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537">
        <w:rPr>
          <w:b/>
          <w:bCs/>
          <w:sz w:val="28"/>
          <w:szCs w:val="28"/>
        </w:rPr>
        <w:t>массовые беспорядки</w:t>
      </w:r>
      <w:r w:rsidRPr="00372537">
        <w:rPr>
          <w:sz w:val="28"/>
          <w:szCs w:val="28"/>
        </w:rPr>
        <w:t xml:space="preserve"> (ст.212 УК РФ)</w:t>
      </w:r>
    </w:p>
    <w:p w14:paraId="3172517D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посягательство на жизнь государственного или общественного деятеля</w:t>
      </w:r>
      <w:r>
        <w:rPr>
          <w:sz w:val="28"/>
          <w:szCs w:val="28"/>
        </w:rPr>
        <w:t xml:space="preserve"> (ст. 277 УК РФ);</w:t>
      </w:r>
    </w:p>
    <w:p w14:paraId="09ACFB49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нападение на лиц или учреждения, которые пользуются международной защитой</w:t>
      </w:r>
      <w:r>
        <w:rPr>
          <w:sz w:val="28"/>
          <w:szCs w:val="28"/>
        </w:rPr>
        <w:t xml:space="preserve"> (ст. 360 УК РФ). </w:t>
      </w:r>
    </w:p>
    <w:p w14:paraId="0780194C" w14:textId="77777777" w:rsidR="00924E94" w:rsidRDefault="00924E94" w:rsidP="00924E9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преступления влекут за собой наказания в виде лишений свободы на разные сроки, вплоть до двадцати лет, а также </w:t>
      </w:r>
      <w:r>
        <w:rPr>
          <w:b/>
          <w:bCs/>
          <w:sz w:val="28"/>
          <w:szCs w:val="28"/>
        </w:rPr>
        <w:t>пожизненное лишение свободы</w:t>
      </w:r>
      <w:r>
        <w:rPr>
          <w:sz w:val="28"/>
          <w:szCs w:val="28"/>
        </w:rPr>
        <w:t xml:space="preserve">. </w:t>
      </w:r>
    </w:p>
    <w:sectPr w:rsidR="00924E94" w:rsidSect="00E8020E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1620"/>
    <w:multiLevelType w:val="hybridMultilevel"/>
    <w:tmpl w:val="1F34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67F93"/>
    <w:multiLevelType w:val="hybridMultilevel"/>
    <w:tmpl w:val="1CA2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37907"/>
    <w:multiLevelType w:val="hybridMultilevel"/>
    <w:tmpl w:val="C5FE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2589B"/>
    <w:multiLevelType w:val="hybridMultilevel"/>
    <w:tmpl w:val="74626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860EC3"/>
    <w:multiLevelType w:val="hybridMultilevel"/>
    <w:tmpl w:val="04EE7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37557"/>
    <w:multiLevelType w:val="hybridMultilevel"/>
    <w:tmpl w:val="68D2D64E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49"/>
    <w:rsid w:val="000D198D"/>
    <w:rsid w:val="00196854"/>
    <w:rsid w:val="00271760"/>
    <w:rsid w:val="00273E61"/>
    <w:rsid w:val="002E505B"/>
    <w:rsid w:val="00372537"/>
    <w:rsid w:val="00376486"/>
    <w:rsid w:val="003860F5"/>
    <w:rsid w:val="003E0E55"/>
    <w:rsid w:val="003E37F0"/>
    <w:rsid w:val="0043546D"/>
    <w:rsid w:val="00495F6F"/>
    <w:rsid w:val="005478B8"/>
    <w:rsid w:val="005A7264"/>
    <w:rsid w:val="006462EF"/>
    <w:rsid w:val="007D46A9"/>
    <w:rsid w:val="00800431"/>
    <w:rsid w:val="00924E94"/>
    <w:rsid w:val="00A927DF"/>
    <w:rsid w:val="00C24C21"/>
    <w:rsid w:val="00C351B6"/>
    <w:rsid w:val="00D03849"/>
    <w:rsid w:val="00E8020E"/>
    <w:rsid w:val="00F5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C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4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3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8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038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D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3849"/>
    <w:rPr>
      <w:b/>
      <w:bCs/>
    </w:rPr>
  </w:style>
  <w:style w:type="character" w:styleId="a6">
    <w:name w:val="Emphasis"/>
    <w:basedOn w:val="a0"/>
    <w:uiPriority w:val="20"/>
    <w:qFormat/>
    <w:rsid w:val="00D03849"/>
    <w:rPr>
      <w:i/>
      <w:iCs/>
    </w:rPr>
  </w:style>
  <w:style w:type="paragraph" w:customStyle="1" w:styleId="2">
    <w:name w:val="2"/>
    <w:basedOn w:val="a"/>
    <w:rsid w:val="00D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D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4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3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8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038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D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3849"/>
    <w:rPr>
      <w:b/>
      <w:bCs/>
    </w:rPr>
  </w:style>
  <w:style w:type="character" w:styleId="a6">
    <w:name w:val="Emphasis"/>
    <w:basedOn w:val="a0"/>
    <w:uiPriority w:val="20"/>
    <w:qFormat/>
    <w:rsid w:val="00D03849"/>
    <w:rPr>
      <w:i/>
      <w:iCs/>
    </w:rPr>
  </w:style>
  <w:style w:type="paragraph" w:customStyle="1" w:styleId="2">
    <w:name w:val="2"/>
    <w:basedOn w:val="a"/>
    <w:rsid w:val="00D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D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6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7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699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5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371D-95CB-4E62-B0ED-28D2089B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Ахметшин Закария Адигамович</dc:creator>
  <cp:lastModifiedBy>Дородных Елена Владимировна</cp:lastModifiedBy>
  <cp:revision>2</cp:revision>
  <dcterms:created xsi:type="dcterms:W3CDTF">2023-07-20T06:28:00Z</dcterms:created>
  <dcterms:modified xsi:type="dcterms:W3CDTF">2023-07-20T06:28:00Z</dcterms:modified>
</cp:coreProperties>
</file>